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4104D9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р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4104D9">
        <w:rPr>
          <w:rFonts w:ascii="Times New Roman" w:eastAsia="Times New Roman" w:hAnsi="Times New Roman" w:cs="Times New Roman"/>
          <w:sz w:val="20"/>
          <w:szCs w:val="20"/>
          <w:lang w:eastAsia="ru-RU"/>
        </w:rPr>
        <w:t>В.А. Иванов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610FC8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4104D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104D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4104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610F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4104D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BF28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Запрос котировок в электронной форме проводится Заказчиком: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344-000 </w:t>
      </w:r>
      <w:proofErr w:type="spellStart"/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. 741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электронной почты: </w:t>
      </w:r>
      <w:hyperlink r:id="rId8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090E58" w:rsidRDefault="00090E58" w:rsidP="00213E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0E58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090E58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оказания услуг:</w:t>
      </w:r>
      <w:r w:rsidRPr="00090E58">
        <w:rPr>
          <w:rFonts w:ascii="Times New Roman" w:hAnsi="Times New Roman" w:cs="Times New Roman"/>
          <w:sz w:val="20"/>
          <w:szCs w:val="20"/>
        </w:rPr>
        <w:t xml:space="preserve"> </w:t>
      </w:r>
      <w:r w:rsidR="004104D9">
        <w:rPr>
          <w:rFonts w:ascii="Times New Roman" w:hAnsi="Times New Roman" w:cs="Times New Roman"/>
          <w:sz w:val="20"/>
          <w:szCs w:val="20"/>
        </w:rPr>
        <w:t>Огородников Алексей Сергеевич</w:t>
      </w:r>
      <w:r w:rsidRPr="00090E58">
        <w:rPr>
          <w:rFonts w:ascii="Times New Roman" w:hAnsi="Times New Roman" w:cs="Times New Roman"/>
          <w:sz w:val="20"/>
          <w:szCs w:val="20"/>
        </w:rPr>
        <w:t xml:space="preserve">, тел.: +7 (3953) 344000 </w:t>
      </w:r>
      <w:proofErr w:type="spellStart"/>
      <w:r w:rsidRPr="00090E58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Pr="00090E58">
        <w:rPr>
          <w:rFonts w:ascii="Times New Roman" w:hAnsi="Times New Roman" w:cs="Times New Roman"/>
          <w:sz w:val="20"/>
          <w:szCs w:val="20"/>
        </w:rPr>
        <w:t xml:space="preserve">. </w:t>
      </w:r>
      <w:r w:rsidR="004104D9">
        <w:rPr>
          <w:rFonts w:ascii="Times New Roman" w:hAnsi="Times New Roman" w:cs="Times New Roman"/>
          <w:sz w:val="20"/>
          <w:szCs w:val="20"/>
        </w:rPr>
        <w:t>526</w:t>
      </w:r>
      <w:r w:rsidRPr="00090E58">
        <w:rPr>
          <w:rFonts w:ascii="Times New Roman" w:hAnsi="Times New Roman" w:cs="Times New Roman"/>
          <w:sz w:val="20"/>
          <w:szCs w:val="20"/>
        </w:rPr>
        <w:t>.</w:t>
      </w:r>
    </w:p>
    <w:p w:rsidR="00090E58" w:rsidRPr="00213E52" w:rsidRDefault="00090E58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бюджетные средства </w:t>
      </w:r>
      <w:r w:rsidR="00CF58BF">
        <w:rPr>
          <w:rFonts w:ascii="Times New Roman" w:eastAsia="Times New Roman" w:hAnsi="Times New Roman" w:cs="Times New Roman"/>
          <w:sz w:val="20"/>
          <w:szCs w:val="20"/>
          <w:lang w:eastAsia="ru-RU"/>
        </w:rPr>
        <w:t>КУИЦ «Энергетика» БрГУ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оказание услуг по обеспечению единства измерений</w:t>
      </w:r>
      <w:r w:rsidR="004104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для нужд КУИЦ «Энергетика» БрГУ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: </w:t>
      </w:r>
      <w:r w:rsidR="009E258A"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71.12.40.129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ОКВЭД2: </w:t>
      </w:r>
      <w:r w:rsidR="009E258A"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71.12.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Сроки оказания услуг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BF28F4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дня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</w:t>
      </w:r>
      <w:r w:rsidR="00BF28F4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оговора по «31» декабря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BF28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Место и срок оказания услуг: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проводятся на производственных площадях Исполнителя.</w:t>
      </w:r>
    </w:p>
    <w:p w:rsidR="00D4653A" w:rsidRPr="00213E52" w:rsidRDefault="00D4653A" w:rsidP="00213E52">
      <w:pPr>
        <w:widowControl w:val="0"/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срок оказание услуг в отношении одного средства измерения не более чем 20 (двадцать)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получ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оборудования от Заказчика. </w:t>
      </w:r>
    </w:p>
    <w:p w:rsidR="00D4653A" w:rsidRPr="00213E52" w:rsidRDefault="00D4653A" w:rsidP="00213E52">
      <w:pPr>
        <w:widowControl w:val="0"/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 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оказание услуг (период): с</w:t>
      </w:r>
      <w:r w:rsidR="00090E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дня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заключения гражданско-правового договора по «</w:t>
      </w:r>
      <w:r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31» декабря </w:t>
      </w:r>
      <w:r w:rsidR="003236DE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2022</w:t>
      </w:r>
      <w:r w:rsidR="009E258A"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 г</w:t>
      </w:r>
      <w:r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Предмет договора с указанием количества оказываемых услуг и описанием предмета настоящего запроса котир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вок: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6.1. Перечень работ/спецификация оборудования: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представлен в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60562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Из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370FC" w:rsidRPr="00893B7A" w:rsidRDefault="00D4653A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6.2. </w:t>
      </w:r>
      <w:r w:rsidR="00E370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</w:t>
      </w:r>
      <w:r w:rsidR="00E370FC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азание услуг (выполнение работ) по обеспечению единства измерений</w:t>
      </w:r>
      <w:r w:rsidR="00E370FC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включает в себя</w:t>
      </w:r>
      <w:r w:rsidR="00E370FC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370FC" w:rsidRPr="00893B7A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6.2.1.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поверки  средств измерений (далее СИ);</w:t>
      </w:r>
    </w:p>
    <w:p w:rsidR="00E370FC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6.2.2. аттестация испытательного оборудования (далее ИО);</w:t>
      </w:r>
    </w:p>
    <w:p w:rsidR="00E370FC" w:rsidRPr="00893B7A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6.2.3. осуществление метрологического контроля параметров технических изделий с измерительными функциями изделий медицинской техники (далее контроль выходных параметров оборудования)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E370F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6.3. Требования, предъявляемые к Исполнителю и услугам в области метрологии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6.3.1. Требования к исполнителю, осуществляющему поверку средств измерений:  Исполнитель, осуществляющий поверку средств измерений, должен быть аккредитован в соответствии с </w:t>
      </w:r>
      <w:hyperlink r:id="rId9" w:tooltip="Законы в России" w:history="1">
        <w:r w:rsidRPr="00213E5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законодательством Российской Федерации</w:t>
        </w:r>
      </w:hyperlink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 аккредитации в национальной системе аккредитации на проведение поверки средств измерений (ч. 2 ст. 13 Федерального закона от 26.06.2008 № 102-ФЗ  «Об обеспечении единства измерений»).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Аттестат аккредитации должен действовать в течение всего срока оказания услуг по поверке. Область аккредитации Испо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нителя должна предусматривать возможность осуществления поверки средств измерений, указанных в Приложении № </w:t>
      </w:r>
      <w:r w:rsidR="009C5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6.3.2. Требования, предъявляемые к услугам по поверке средств измерений: Результатом поверки средств измерений должно являться подтверждение соответствия средств измерений метрологическим требованиям либо установление факта  их н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пригодности к применению, а также оформление соответствующих документов, предусмотренных Приказом </w:t>
      </w:r>
      <w:proofErr w:type="spell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Минпромторга</w:t>
      </w:r>
      <w:proofErr w:type="spell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.07.20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орядка проведения поверки средств измерений, требования к знаку поверки и содержанию свидетельства о поверке». Результаты поверки средств измерений должны удостоверяться знаком поверки, и (или) свидетельством о поверке, и (или) записью в паспорте (формуляре) средства измерений, заверяемой подписью </w:t>
      </w:r>
      <w:proofErr w:type="spell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повер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теля</w:t>
      </w:r>
      <w:proofErr w:type="spell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знаком поверки.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6.3.3.  Требования, предъявляемые к услугам по калибровке средств измерений: Калибровка средств измерений должна в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полняться с использованием эталонов единиц величин, прослеживаемых к государственным первичным эталонам соответс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вующих единиц величин, а при отсутствии соответствующих государственных первичных эталонов единиц величин — к национальным эталонам единиц величин иностранных государств (ч.1 ст.18 Федерального закона от 26.06.2008 № 102-ФЗ  «Об обеспечении единства измерений»).</w:t>
      </w:r>
    </w:p>
    <w:p w:rsidR="00D4653A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Результатом калибровки средств измерений должно являться определение действительных значений метрологических х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рактеристик средств измерений. Результаты калибровки средств измерений, а также содержание сертификатов калибровки, 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оформляемых по результатам оказания услуг должны соответствовать требованиям Постановления Правительства Росси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ской Федерации от 02.04.2015 № 311 «Об </w:t>
      </w:r>
      <w:hyperlink r:id="rId10" w:tooltip="Утверждения положений" w:history="1">
        <w:r w:rsidRPr="00213E5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утверждении положения</w:t>
        </w:r>
      </w:hyperlink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о признании результатов калибровки при поверке средств измерений в сфере государственного регулирования обеспечения единства измерений» и/или Правил по метрологии </w:t>
      </w:r>
      <w:proofErr w:type="gram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gram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50.2.016-94 «Государственная система обеспечения единства измерений. Требования к выполнению калибровочных работ» (принятых Постановление Госстандарта  России от 21.09.94г. №17), в части, не противоречащей Федеральному закону от 26.06.2008 № 102-ФЗ  «Об обеспечении единства измерений».</w:t>
      </w:r>
    </w:p>
    <w:p w:rsidR="00E370FC" w:rsidRPr="00213E52" w:rsidRDefault="00E370FC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6.3.4.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Аттестация осуществляется в соответствии с требованиями ГОСТ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8568-2017. Государственная система обеспечения единства измерений. Аттестация испытательного оборудования. Основные положения.</w:t>
      </w:r>
    </w:p>
    <w:p w:rsidR="00D4653A" w:rsidRPr="00213E52" w:rsidRDefault="00D4653A" w:rsidP="00213E52">
      <w:pPr>
        <w:numPr>
          <w:ilvl w:val="1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 к гарантии качества: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Гарантийный срок на оказанные услуги должен быть не менее 6 месяцев со дня подписания акта сдачи-приемки услуг ст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ронами.</w:t>
      </w: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Default="00D4653A" w:rsidP="00213E52">
      <w:pPr>
        <w:numPr>
          <w:ilvl w:val="0"/>
          <w:numId w:val="16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4104D9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216 820,80</w:t>
      </w: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рубл</w:t>
      </w:r>
      <w:r w:rsidR="00CD27E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ей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104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двести шестнадцать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9E258A"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тысяч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4104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восемьсот двадцать 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</w:t>
      </w:r>
      <w:r w:rsidR="00CD27E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ей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4104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8</w:t>
      </w:r>
      <w:r w:rsidR="00CD27E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копе</w:t>
      </w:r>
      <w:r w:rsidR="001C29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60562F" w:rsidRPr="0060562F" w:rsidRDefault="0060562F" w:rsidP="0060562F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Обоснование НМЦД – Приложение № 1 к настоящему Извещению.</w:t>
      </w:r>
    </w:p>
    <w:p w:rsidR="00D4653A" w:rsidRPr="00213E52" w:rsidRDefault="00D4653A" w:rsidP="00213E52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формирования цены договора:</w:t>
      </w:r>
    </w:p>
    <w:p w:rsidR="00D4653A" w:rsidRPr="00213E52" w:rsidRDefault="00D4653A" w:rsidP="00213E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8.1. </w:t>
      </w:r>
      <w:r w:rsidRPr="00213E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Предлагаемая Исполнителем цена договора должна включать в себя </w:t>
      </w:r>
      <w:r w:rsidRPr="00213E52">
        <w:rPr>
          <w:rFonts w:ascii="Times New Roman" w:eastAsia="Calibri" w:hAnsi="Times New Roman" w:cs="Times New Roman"/>
          <w:sz w:val="20"/>
          <w:szCs w:val="20"/>
        </w:rPr>
        <w:t>все расходы Исполнителя, связанные с оказанием услуг, транспортные расходы, в том числе расходы на оплату налогов (в том числе НДС), сборов и других обязательных пл</w:t>
      </w:r>
      <w:r w:rsidRPr="00213E52">
        <w:rPr>
          <w:rFonts w:ascii="Times New Roman" w:eastAsia="Calibri" w:hAnsi="Times New Roman" w:cs="Times New Roman"/>
          <w:sz w:val="20"/>
          <w:szCs w:val="20"/>
        </w:rPr>
        <w:t>а</w:t>
      </w:r>
      <w:r w:rsidRPr="00213E52">
        <w:rPr>
          <w:rFonts w:ascii="Times New Roman" w:eastAsia="Calibri" w:hAnsi="Times New Roman" w:cs="Times New Roman"/>
          <w:sz w:val="20"/>
          <w:szCs w:val="20"/>
        </w:rPr>
        <w:t>тежей.</w:t>
      </w:r>
    </w:p>
    <w:p w:rsidR="00D4653A" w:rsidRPr="00213E52" w:rsidRDefault="00D4653A" w:rsidP="00213E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договора остается твердой на весь период его действия и изменению не подлежит, за исключением случаев, пред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смотренных Положением о закупке.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  Сроки и условия оплаты оказанных услуг: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Безналичный расчёт.</w:t>
      </w:r>
    </w:p>
    <w:p w:rsidR="00E910AE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Оплату за метрологические услуги «Заказчик» производит предварительно в размере 30% до начала услуг, путем 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числения денежных сумм, на расчетный счет «И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сполнителя» на основании счета.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9.3.Окончательный расчет  производится на основании Акта сдачи-приемки услуг и счета-фактуры, выданными «Исполн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телем», не позднее 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пятнадцати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календарных дней с момента подписания конкретного Акта сдачи-приемки услуг.</w:t>
      </w:r>
    </w:p>
    <w:p w:rsidR="00CF58BF" w:rsidRPr="00FD2A30" w:rsidRDefault="00CF58BF" w:rsidP="00CF5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9.4. </w:t>
      </w:r>
      <w:r w:rsidRPr="00FD2A30">
        <w:rPr>
          <w:rFonts w:ascii="Times New Roman" w:hAnsi="Times New Roman" w:cs="Times New Roman"/>
          <w:sz w:val="20"/>
          <w:szCs w:val="20"/>
        </w:rPr>
        <w:t xml:space="preserve">Плательщиком по договору является структурное подразделение ФГБОУ ВО «БрГУ» - КУИЦ «Энергетика» БрГУ. </w:t>
      </w:r>
      <w:r>
        <w:rPr>
          <w:rFonts w:ascii="Times New Roman" w:hAnsi="Times New Roman" w:cs="Times New Roman"/>
          <w:sz w:val="20"/>
          <w:szCs w:val="20"/>
        </w:rPr>
        <w:t>«И</w:t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полнитель»</w:t>
      </w:r>
      <w:r w:rsidRPr="00FD2A30">
        <w:rPr>
          <w:rFonts w:ascii="Times New Roman" w:hAnsi="Times New Roman" w:cs="Times New Roman"/>
          <w:sz w:val="20"/>
          <w:szCs w:val="20"/>
        </w:rPr>
        <w:t xml:space="preserve"> представляет документы на оплату, оформленные по реквизитам КУИЦ «Энергетика» БрГУ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чением лиц, у которых такая судимость погашена или снята), а также неприменение в отношении указанных физических лиц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цены единицы товара, работы, услуги, указанной в извещении о запросе котировок,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участия в запросе котировок в электронной форме участник подает заявку на Электронной торговой площадке (д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лее – ЭТП) в сети Интернет -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ЭТП «РТС-тендер».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Адрес ЭТП в сети Интернет: </w:t>
      </w:r>
      <w:hyperlink r:id="rId1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https://223.rts-tender.ru/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E910AE" w:rsidRPr="00E910AE" w:rsidRDefault="00E910AE" w:rsidP="00E910AE">
      <w:pPr>
        <w:pStyle w:val="a5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910A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10AE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E910AE">
        <w:rPr>
          <w:rFonts w:ascii="Times New Roman" w:hAnsi="Times New Roman" w:cs="Times New Roman"/>
          <w:sz w:val="20"/>
          <w:szCs w:val="20"/>
        </w:rPr>
        <w:t>а</w:t>
      </w:r>
      <w:r w:rsidRPr="00E910AE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E910A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60562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9E258A" w:rsidRPr="00213E52" w:rsidRDefault="009E258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копия аттестата об аккредитации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области единства измерений (область аккредитации должна охватывать все средства измерений, перечисленные в приложении № </w:t>
      </w:r>
      <w:r w:rsidR="0060562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Извещению).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60562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3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закупки, получивший аккредитацию на электронной площадке, указанной в извещении о проведении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E910AE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4104D9">
        <w:rPr>
          <w:rFonts w:ascii="Times New Roman" w:hAnsi="Times New Roman" w:cs="Times New Roman"/>
          <w:b/>
          <w:sz w:val="20"/>
          <w:szCs w:val="20"/>
        </w:rPr>
        <w:t>11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104D9">
        <w:rPr>
          <w:rFonts w:ascii="Times New Roman" w:hAnsi="Times New Roman" w:cs="Times New Roman"/>
          <w:b/>
          <w:sz w:val="20"/>
          <w:szCs w:val="20"/>
        </w:rPr>
        <w:t>марта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29D6">
        <w:rPr>
          <w:rFonts w:ascii="Times New Roman" w:hAnsi="Times New Roman" w:cs="Times New Roman"/>
          <w:b/>
          <w:sz w:val="20"/>
          <w:szCs w:val="20"/>
        </w:rPr>
        <w:t>2022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 с </w:t>
      </w:r>
      <w:r w:rsidR="003D6406">
        <w:rPr>
          <w:rFonts w:ascii="Times New Roman" w:hAnsi="Times New Roman" w:cs="Times New Roman"/>
          <w:b/>
          <w:sz w:val="20"/>
          <w:szCs w:val="20"/>
        </w:rPr>
        <w:t>момента размещения настоящей закупки</w:t>
      </w:r>
      <w:r w:rsidRPr="00E910AE">
        <w:rPr>
          <w:rFonts w:ascii="Times New Roman" w:hAnsi="Times New Roman" w:cs="Times New Roman"/>
          <w:sz w:val="20"/>
          <w:szCs w:val="20"/>
        </w:rPr>
        <w:t>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31369A">
        <w:rPr>
          <w:rFonts w:ascii="Times New Roman" w:hAnsi="Times New Roman" w:cs="Times New Roman"/>
          <w:b/>
          <w:sz w:val="20"/>
          <w:szCs w:val="20"/>
        </w:rPr>
        <w:t>21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CD27E3">
        <w:rPr>
          <w:rFonts w:ascii="Times New Roman" w:hAnsi="Times New Roman" w:cs="Times New Roman"/>
          <w:b/>
          <w:sz w:val="20"/>
          <w:szCs w:val="20"/>
        </w:rPr>
        <w:t>марта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1C29D6">
        <w:rPr>
          <w:rFonts w:ascii="Times New Roman" w:hAnsi="Times New Roman" w:cs="Times New Roman"/>
          <w:b/>
          <w:sz w:val="20"/>
          <w:szCs w:val="20"/>
        </w:rPr>
        <w:t>2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 до </w:t>
      </w:r>
      <w:r w:rsidR="0031369A">
        <w:rPr>
          <w:rFonts w:ascii="Times New Roman" w:hAnsi="Times New Roman" w:cs="Times New Roman"/>
          <w:b/>
          <w:sz w:val="20"/>
          <w:szCs w:val="20"/>
        </w:rPr>
        <w:t>10</w:t>
      </w:r>
      <w:r w:rsidRPr="00E910AE">
        <w:rPr>
          <w:rFonts w:ascii="Times New Roman" w:hAnsi="Times New Roman" w:cs="Times New Roman"/>
          <w:b/>
          <w:sz w:val="20"/>
          <w:szCs w:val="20"/>
        </w:rPr>
        <w:t>:00 часов</w:t>
      </w:r>
      <w:r w:rsidRPr="00E910A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E910AE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4104D9">
        <w:rPr>
          <w:rFonts w:ascii="Times New Roman" w:hAnsi="Times New Roman" w:cs="Times New Roman"/>
          <w:b/>
          <w:sz w:val="20"/>
          <w:szCs w:val="20"/>
        </w:rPr>
        <w:t>11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104D9">
        <w:rPr>
          <w:rFonts w:ascii="Times New Roman" w:hAnsi="Times New Roman" w:cs="Times New Roman"/>
          <w:b/>
          <w:sz w:val="20"/>
          <w:szCs w:val="20"/>
        </w:rPr>
        <w:t>марта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29D6">
        <w:rPr>
          <w:rFonts w:ascii="Times New Roman" w:hAnsi="Times New Roman" w:cs="Times New Roman"/>
          <w:b/>
          <w:sz w:val="20"/>
          <w:szCs w:val="20"/>
        </w:rPr>
        <w:t>2022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31369A">
        <w:rPr>
          <w:rFonts w:ascii="Times New Roman" w:hAnsi="Times New Roman" w:cs="Times New Roman"/>
          <w:b/>
          <w:sz w:val="20"/>
          <w:szCs w:val="20"/>
        </w:rPr>
        <w:t>17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104D9">
        <w:rPr>
          <w:rFonts w:ascii="Times New Roman" w:hAnsi="Times New Roman" w:cs="Times New Roman"/>
          <w:b/>
          <w:sz w:val="20"/>
          <w:szCs w:val="20"/>
        </w:rPr>
        <w:t>марта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1C29D6">
        <w:rPr>
          <w:rFonts w:ascii="Times New Roman" w:hAnsi="Times New Roman" w:cs="Times New Roman"/>
          <w:b/>
          <w:sz w:val="20"/>
          <w:szCs w:val="20"/>
        </w:rPr>
        <w:t>2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E910AE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E910AE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E910AE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E910AE">
        <w:rPr>
          <w:rFonts w:ascii="Times New Roman" w:hAnsi="Times New Roman" w:cs="Times New Roman"/>
          <w:sz w:val="20"/>
          <w:szCs w:val="20"/>
        </w:rPr>
        <w:t>н</w:t>
      </w:r>
      <w:r w:rsidRPr="00E910AE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0AE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E910AE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E910AE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E910A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910AE">
        <w:rPr>
          <w:rFonts w:ascii="Times New Roman" w:hAnsi="Times New Roman" w:cs="Times New Roman"/>
          <w:sz w:val="20"/>
          <w:szCs w:val="20"/>
        </w:rPr>
        <w:t xml:space="preserve">. 3119,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31369A">
        <w:rPr>
          <w:rFonts w:ascii="Times New Roman" w:hAnsi="Times New Roman" w:cs="Times New Roman"/>
          <w:b/>
          <w:sz w:val="20"/>
          <w:szCs w:val="20"/>
        </w:rPr>
        <w:t>22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CD27E3">
        <w:rPr>
          <w:rFonts w:ascii="Times New Roman" w:hAnsi="Times New Roman" w:cs="Times New Roman"/>
          <w:b/>
          <w:sz w:val="20"/>
          <w:szCs w:val="20"/>
        </w:rPr>
        <w:t>марта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1C29D6">
        <w:rPr>
          <w:rFonts w:ascii="Times New Roman" w:hAnsi="Times New Roman" w:cs="Times New Roman"/>
          <w:b/>
          <w:sz w:val="20"/>
          <w:szCs w:val="20"/>
        </w:rPr>
        <w:t>2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E910AE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E910AE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60562F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15.1. Приложение № 1 – </w:t>
      </w:r>
      <w:r w:rsidR="006056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Обоснование НМЦД</w:t>
      </w:r>
    </w:p>
    <w:p w:rsidR="00D4653A" w:rsidRPr="00213E52" w:rsidRDefault="0060562F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15.2. Приложение № 2 – 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15.2. Приложение № </w:t>
      </w:r>
      <w:r w:rsidR="006056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15.2. Приложение № </w:t>
      </w:r>
      <w:r w:rsidR="00EC074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оборудования (средств измерений) подлежащий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поверки (калибровки)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1C29D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(прикре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ленный файл).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15.3. Приложение № </w:t>
      </w:r>
      <w:r w:rsidR="00EC074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0AE" w:rsidRPr="00213E52" w:rsidRDefault="00E910AE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E910AE" w:rsidRDefault="004104D9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директора КУИЦ «Энергетика» БрГУ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В.Н. Федяева</w:t>
      </w:r>
    </w:p>
    <w:p w:rsidR="00D4653A" w:rsidRPr="00213E52" w:rsidRDefault="001C29D6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="004104D9">
        <w:rPr>
          <w:rFonts w:ascii="Times New Roman" w:eastAsia="Times New Roman" w:hAnsi="Times New Roman" w:cs="Times New Roman"/>
          <w:sz w:val="20"/>
          <w:szCs w:val="20"/>
          <w:lang w:eastAsia="ru-RU"/>
        </w:rPr>
        <w:t>бухгалтер КУИЦ «Энергетика» БрГУ</w:t>
      </w:r>
      <w:r w:rsidR="004104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104D9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Коляда</w:t>
      </w:r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17C" w:rsidRDefault="009031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Приложение № </w:t>
      </w:r>
      <w:r w:rsidR="009C5DD4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2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Приложение_№_2"/>
      <w:bookmarkEnd w:id="1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4104D9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3D6406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4104D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C29D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оказать услуги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обеспечению единства измерений</w:t>
      </w:r>
      <w:r w:rsidR="004104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для нужд КУИЦ «Энергетика» БрГУ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tabs>
          <w:tab w:val="left" w:pos="8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Место оказания услуг: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Срок оказания услуг: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с момента заключения гражданско-правового договора по «31» декабря </w:t>
      </w:r>
      <w:r w:rsidR="001C29D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2022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г.</w:t>
      </w:r>
    </w:p>
    <w:p w:rsidR="00E370FC" w:rsidRPr="00945C83" w:rsidRDefault="00E370FC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Гарантийный срок на оказанные услуги составляет 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сдачи-приемки услуг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Сведения об участнике запроса котировок в электронной форме: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Место нахождения юридического лица: 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Место жительства (для физического лица, ИП): 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Почтовый адрес (для юридического лица, физического лица, ИП): 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Должность, Ф.И.О.(полные) контактного лица: 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proofErr w:type="gramEnd"/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Номер контактного телефона: 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Номер телефакса: 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7) Адрес электронной почты: 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8) ИНН: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9) КПП: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10) ОГРН: _________________________, дата постановки на учет: __.__.____г. ОКПО: 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11) Банковские реквизиты (для юридического лица, ИП):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банка: ___________________________________________________________</w:t>
      </w: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53A" w:rsidRPr="00945C83" w:rsidTr="009E258A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Декларирование: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Настоящей заявкой участник закупки декларирует о соответствие участника закупки требованиям, у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с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тановленных разделом 10.2 Извещения о проведении открытого запроса котировок в электронной фо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р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ме № </w:t>
      </w:r>
      <w:r w:rsidR="004104D9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16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-ЗК от </w:t>
      </w:r>
      <w:r w:rsidR="003D640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11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0</w:t>
      </w:r>
      <w:r w:rsidR="004104D9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3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.20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</w:t>
      </w:r>
      <w:r w:rsidR="00C71D4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г.</w:t>
      </w:r>
    </w:p>
    <w:p w:rsidR="00D4653A" w:rsidRPr="00945C83" w:rsidRDefault="00D4653A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D4653A" w:rsidRPr="00945C83" w:rsidRDefault="00D4653A" w:rsidP="00D4653A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аттестата аккредитации Исполнителя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P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9C5DD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4104D9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3D6406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EE19C4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71D4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D4653A" w:rsidRPr="00945C83" w:rsidRDefault="00D4653A" w:rsidP="00D4653A">
      <w:pPr>
        <w:tabs>
          <w:tab w:val="left" w:pos="80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Итого стоимость предложения составляет: _________________________ рублей.</w:t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том числе НДС __%, что составляет _______________________________ рублей.</w:t>
      </w:r>
    </w:p>
    <w:p w:rsidR="00213E52" w:rsidRPr="00945C83" w:rsidRDefault="00213E52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Приложение спецификация стоимости.</w:t>
      </w: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Сведения о включенных в цену расходах: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расходы Исполнителя, связанные с оказанием услуг;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транспортные расходы;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расходы на оплату налогов (в том числе НДС), сборов и других обязательных платежей.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0"/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признаем (</w:t>
      </w:r>
      <w:r w:rsidRPr="00945C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признает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Default="00D4653A">
      <w:pPr>
        <w:sectPr w:rsidR="00D4653A" w:rsidSect="00A75881">
          <w:footerReference w:type="default" r:id="rId12"/>
          <w:pgSz w:w="11906" w:h="16838"/>
          <w:pgMar w:top="568" w:right="567" w:bottom="851" w:left="567" w:header="709" w:footer="709" w:gutter="0"/>
          <w:cols w:space="708"/>
          <w:docGrid w:linePitch="360"/>
        </w:sectPr>
      </w:pPr>
    </w:p>
    <w:p w:rsidR="0060562F" w:rsidRDefault="0060562F" w:rsidP="00211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D4653A" w:rsidRDefault="00213E52" w:rsidP="00211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11C99">
        <w:rPr>
          <w:rFonts w:ascii="Times New Roman" w:hAnsi="Times New Roman" w:cs="Times New Roman"/>
          <w:sz w:val="24"/>
          <w:szCs w:val="20"/>
        </w:rPr>
        <w:t xml:space="preserve">Спецификация стоимости </w:t>
      </w:r>
      <w:r w:rsidR="00211C99" w:rsidRPr="00211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 </w:t>
      </w:r>
      <w:r w:rsidR="00211C99" w:rsidRPr="00211C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обеспечению единства измерений</w:t>
      </w:r>
    </w:p>
    <w:p w:rsidR="0060562F" w:rsidRDefault="0060562F" w:rsidP="00211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40"/>
        <w:gridCol w:w="2326"/>
        <w:gridCol w:w="928"/>
        <w:gridCol w:w="1404"/>
        <w:gridCol w:w="1006"/>
        <w:gridCol w:w="992"/>
        <w:gridCol w:w="1184"/>
        <w:gridCol w:w="1793"/>
        <w:gridCol w:w="1275"/>
        <w:gridCol w:w="1560"/>
        <w:gridCol w:w="2152"/>
      </w:tblGrid>
      <w:tr w:rsidR="0060562F" w:rsidRPr="0060562F" w:rsidTr="0060562F">
        <w:trPr>
          <w:trHeight w:val="426"/>
          <w:tblHeader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26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28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4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ед., руб.</w:t>
            </w:r>
          </w:p>
        </w:tc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Надбавка</w:t>
            </w:r>
          </w:p>
        </w:tc>
        <w:tc>
          <w:tcPr>
            <w:tcW w:w="1793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без НДС, руб.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НДС 20%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с НДС, руб.</w:t>
            </w:r>
          </w:p>
        </w:tc>
        <w:tc>
          <w:tcPr>
            <w:tcW w:w="2152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0562F" w:rsidRPr="0060562F" w:rsidTr="0060562F">
        <w:trPr>
          <w:tblHeader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93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rPr>
          <w:tblHeader/>
        </w:trPr>
        <w:tc>
          <w:tcPr>
            <w:tcW w:w="540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C71D4E" w:rsidRDefault="00C71D4E" w:rsidP="00C71D4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sectPr w:rsidR="00C71D4E" w:rsidSect="009851A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87" w:rsidRDefault="00CE6987" w:rsidP="003D59F3">
      <w:pPr>
        <w:spacing w:after="0" w:line="240" w:lineRule="auto"/>
      </w:pPr>
      <w:r>
        <w:separator/>
      </w:r>
    </w:p>
  </w:endnote>
  <w:endnote w:type="continuationSeparator" w:id="0">
    <w:p w:rsidR="00CE6987" w:rsidRDefault="00CE6987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4104D9" w:rsidRDefault="00B36FED">
        <w:pPr>
          <w:pStyle w:val="a3"/>
          <w:jc w:val="right"/>
        </w:pPr>
        <w:fldSimple w:instr=" PAGE   \* MERGEFORMAT ">
          <w:r w:rsidR="0031369A">
            <w:rPr>
              <w:noProof/>
            </w:rPr>
            <w:t>2</w:t>
          </w:r>
        </w:fldSimple>
      </w:p>
    </w:sdtContent>
  </w:sdt>
  <w:p w:rsidR="004104D9" w:rsidRDefault="004104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87" w:rsidRDefault="00CE6987" w:rsidP="003D59F3">
      <w:pPr>
        <w:spacing w:after="0" w:line="240" w:lineRule="auto"/>
      </w:pPr>
      <w:r>
        <w:separator/>
      </w:r>
    </w:p>
  </w:footnote>
  <w:footnote w:type="continuationSeparator" w:id="0">
    <w:p w:rsidR="00CE6987" w:rsidRDefault="00CE6987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4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E58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6CE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9D6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6BE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69A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6DE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3E1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406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4D9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5877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1B2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0F6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62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0FC8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36C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1F2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4A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17C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9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37ECB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5DD4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CF3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9703B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4C0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2D21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6FED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9CF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8F4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4E"/>
    <w:rsid w:val="00C71DBF"/>
    <w:rsid w:val="00C71E89"/>
    <w:rsid w:val="00C71FE7"/>
    <w:rsid w:val="00C72437"/>
    <w:rsid w:val="00C7282D"/>
    <w:rsid w:val="00C734C3"/>
    <w:rsid w:val="00C737AA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6E2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7E3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87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8BF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0FC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0AE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74E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19C4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E91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23.rts-tender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pandia.ru/text/category/utverzhdeniya_polozhen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zakoni_v_ros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C3782-2154-4C4C-BE85-9763ABBD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11</Pages>
  <Words>6371</Words>
  <Characters>36316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56</cp:revision>
  <cp:lastPrinted>2019-04-03T03:40:00Z</cp:lastPrinted>
  <dcterms:created xsi:type="dcterms:W3CDTF">2014-10-02T06:08:00Z</dcterms:created>
  <dcterms:modified xsi:type="dcterms:W3CDTF">2022-03-11T03:52:00Z</dcterms:modified>
</cp:coreProperties>
</file>